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45F32D49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</w:t>
      </w:r>
      <w:r w:rsidR="00D22A7C">
        <w:rPr>
          <w:rFonts w:asciiTheme="minorHAnsi" w:hAnsiTheme="minorHAnsi"/>
          <w:b/>
          <w:bCs/>
          <w:sz w:val="28"/>
          <w:szCs w:val="26"/>
        </w:rPr>
        <w:t>I</w:t>
      </w:r>
      <w:r w:rsidR="00A33793">
        <w:rPr>
          <w:rFonts w:asciiTheme="minorHAnsi" w:hAnsiTheme="minorHAnsi"/>
          <w:b/>
          <w:bCs/>
          <w:sz w:val="28"/>
          <w:szCs w:val="26"/>
        </w:rPr>
        <w:t>V</w:t>
      </w:r>
      <w:r w:rsidRPr="00C41D6B">
        <w:rPr>
          <w:rFonts w:asciiTheme="minorHAnsi" w:hAnsiTheme="minorHAnsi"/>
          <w:b/>
          <w:bCs/>
          <w:sz w:val="28"/>
          <w:szCs w:val="26"/>
        </w:rPr>
        <w:t xml:space="preserve"> sezione </w:t>
      </w:r>
      <w:r w:rsidR="00606C07">
        <w:rPr>
          <w:rFonts w:asciiTheme="minorHAnsi" w:hAnsiTheme="minorHAnsi"/>
          <w:b/>
          <w:bCs/>
          <w:sz w:val="28"/>
          <w:szCs w:val="26"/>
        </w:rPr>
        <w:t>R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3DE2B2CD" w14:textId="77777777" w:rsidR="00D22A7C" w:rsidRPr="00AE27CA" w:rsidRDefault="00D22A7C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48551D76" w14:textId="16CEE5B6" w:rsidR="00445B74" w:rsidRDefault="00445B74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rapporto tra scienza e fede: distinguere tra il come e il perché. Richard Feynman e “Il senso delle cose”: la necessità dell’interpretazione.</w:t>
      </w:r>
    </w:p>
    <w:p w14:paraId="4A86164D" w14:textId="536A76C2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Neuroscienze e libertà umana: quale spazio per l’auto-trascendenza umana?</w:t>
      </w:r>
    </w:p>
    <w:p w14:paraId="56943A21" w14:textId="6034E91F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Le origini dell’universo e la fede nella Creazione: dialogo possibile?</w:t>
      </w:r>
    </w:p>
    <w:p w14:paraId="7A23679F" w14:textId="1AC8C22A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Altre sfide per il dialogo: i miracoli, la vita dopo la morte, la vita extraterrestre…</w:t>
      </w:r>
    </w:p>
    <w:p w14:paraId="26065BBC" w14:textId="77A50D52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Educazione civica: l’inquisizione, il caso Galileo e Giordano Bruno, il rapporto tra verità e cultura</w:t>
      </w:r>
    </w:p>
    <w:p w14:paraId="3FDCD320" w14:textId="66E85F81" w:rsidR="00445B74" w:rsidRDefault="00445B74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Dottrina Sociale della Chiesa (DSC)</w:t>
      </w:r>
    </w:p>
    <w:p w14:paraId="7B44E6E0" w14:textId="391903A9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ricerca della giustizia: indagine e analisi del concetto</w:t>
      </w:r>
    </w:p>
    <w:p w14:paraId="2C3FFAAD" w14:textId="2482FA6A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L’uomo inscritto in un contesto sociale: dal contrattualismo a diverse visioni del rapporto individuo-stato. Individualismo e collettivismo.</w:t>
      </w:r>
    </w:p>
    <w:p w14:paraId="177C9050" w14:textId="214F1EDC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 xml:space="preserve">La ricerca del bene sociale: i principi </w:t>
      </w:r>
      <w:r w:rsidR="00790825">
        <w:rPr>
          <w:rFonts w:asciiTheme="minorHAnsi" w:hAnsiTheme="minorHAnsi" w:cs="Mangal"/>
          <w:szCs w:val="21"/>
        </w:rPr>
        <w:t xml:space="preserve">fondamentali </w:t>
      </w:r>
      <w:r>
        <w:rPr>
          <w:rFonts w:asciiTheme="minorHAnsi" w:hAnsiTheme="minorHAnsi" w:cs="Mangal"/>
          <w:szCs w:val="21"/>
        </w:rPr>
        <w:t>della DSC</w:t>
      </w:r>
    </w:p>
    <w:p w14:paraId="7C07EC9B" w14:textId="389767B3" w:rsidR="00445B74" w:rsidRDefault="00445B74" w:rsidP="00445B74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Bene comune</w:t>
      </w:r>
    </w:p>
    <w:p w14:paraId="68612FF8" w14:textId="3DBAC92A" w:rsidR="00445B74" w:rsidRDefault="00790825" w:rsidP="00445B74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Solidarietà</w:t>
      </w:r>
    </w:p>
    <w:p w14:paraId="3F98B997" w14:textId="7B680A1C" w:rsidR="00790825" w:rsidRPr="00790825" w:rsidRDefault="00790825" w:rsidP="00790825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Sussidiarietà</w:t>
      </w:r>
    </w:p>
    <w:p w14:paraId="1B1D1D6D" w14:textId="57D97196" w:rsidR="00790825" w:rsidRDefault="00790825" w:rsidP="00790825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legittimità della proprietà privata e i suoi limiti: subordinazione alla destinazione universale dei beni e orientamento a una opzione preferenziale per i poveri</w:t>
      </w:r>
    </w:p>
    <w:p w14:paraId="06EF8728" w14:textId="16F5371A" w:rsidR="00790825" w:rsidRDefault="00790825" w:rsidP="00790825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Temi di DSC:</w:t>
      </w:r>
    </w:p>
    <w:p w14:paraId="0431C523" w14:textId="6B461CC9" w:rsidR="00790825" w:rsidRDefault="00790825" w:rsidP="00790825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lavoro e il suo significato etico-antropologico per l’uomo</w:t>
      </w:r>
    </w:p>
    <w:p w14:paraId="3DC7616C" w14:textId="5BA4D49A" w:rsidR="00790825" w:rsidRDefault="00790825" w:rsidP="00790825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tecnologia nel suo intreccio con il lavoro</w:t>
      </w:r>
    </w:p>
    <w:p w14:paraId="1CADC532" w14:textId="1A55654A" w:rsidR="00790825" w:rsidRDefault="00790825" w:rsidP="00790825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famiglia e la denatalità</w:t>
      </w:r>
    </w:p>
    <w:p w14:paraId="12D751BC" w14:textId="6D6F9C06" w:rsidR="00A33793" w:rsidRPr="00790825" w:rsidRDefault="00790825" w:rsidP="00790825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partecipazione: significato originario della politica, impegno attivo e volontariato</w:t>
      </w:r>
    </w:p>
    <w:p w14:paraId="3D68E90A" w14:textId="77777777" w:rsidR="00A33793" w:rsidRDefault="00A33793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</w:p>
    <w:p w14:paraId="00899E83" w14:textId="666395A7" w:rsidR="00112294" w:rsidRPr="006C411E" w:rsidRDefault="00112294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  <w:r w:rsidRPr="006C411E">
        <w:rPr>
          <w:rFonts w:asciiTheme="minorHAnsi" w:hAnsiTheme="minorHAnsi" w:cs="Mangal"/>
          <w:szCs w:val="21"/>
        </w:rPr>
        <w:t>È stato dato spazio alle domande, alle riflessioni e agli stimoli proposti dagli allievi. Si è rivolta un’attenzione specifica verso le tematiche di attualità dalle quali gli studenti si sono sentiti interpellati.</w:t>
      </w:r>
    </w:p>
    <w:p w14:paraId="3996260B" w14:textId="77777777" w:rsidR="00D22A7C" w:rsidRDefault="00D22A7C" w:rsidP="00F43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rFonts w:asciiTheme="minorHAnsi" w:eastAsia="Arial" w:hAnsiTheme="minorHAnsi" w:cstheme="majorHAnsi"/>
          <w:color w:val="000000"/>
        </w:rPr>
      </w:pPr>
    </w:p>
    <w:p w14:paraId="26AFB29C" w14:textId="77777777" w:rsidR="00D22A7C" w:rsidRPr="00AE27CA" w:rsidRDefault="00D22A7C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3CF76DB5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E27CA">
        <w:rPr>
          <w:rFonts w:asciiTheme="minorHAnsi" w:eastAsia="Arial" w:hAnsiTheme="minorHAnsi" w:cstheme="majorHAnsi"/>
          <w:color w:val="000000"/>
        </w:rPr>
        <w:t xml:space="preserve">Torino, </w:t>
      </w:r>
      <w:r w:rsidR="00C0492C">
        <w:rPr>
          <w:rFonts w:asciiTheme="minorHAnsi" w:eastAsia="Arial" w:hAnsiTheme="minorHAnsi" w:cstheme="majorHAnsi"/>
          <w:color w:val="000000"/>
        </w:rPr>
        <w:t>20</w:t>
      </w:r>
      <w:r w:rsidRPr="00AE27CA">
        <w:rPr>
          <w:rFonts w:asciiTheme="minorHAnsi" w:eastAsia="Arial" w:hAnsiTheme="minorHAnsi" w:cstheme="majorHAnsi"/>
          <w:color w:val="000000"/>
        </w:rPr>
        <w:t>/06/202</w:t>
      </w:r>
      <w:r w:rsidRPr="00AE27CA">
        <w:rPr>
          <w:rFonts w:asciiTheme="minorHAnsi" w:eastAsia="Arial" w:hAnsiTheme="minorHAnsi" w:cstheme="majorHAnsi"/>
        </w:rPr>
        <w:t xml:space="preserve">4    </w:t>
      </w:r>
      <w:r w:rsidRPr="00AE27CA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  <w:sectPr w:rsidR="00AF4590" w:rsidRPr="00AE2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80262E" w14:textId="7322D592" w:rsidR="00AE27CA" w:rsidRDefault="00AF4590" w:rsidP="00AE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E27CA">
        <w:rPr>
          <w:rFonts w:asciiTheme="minorHAnsi" w:eastAsia="Arial" w:hAnsiTheme="minorHAnsi" w:cstheme="majorHAnsi"/>
        </w:rPr>
        <w:t>Il docente</w:t>
      </w:r>
    </w:p>
    <w:p w14:paraId="37525090" w14:textId="3689EE3E" w:rsidR="00C0492C" w:rsidRDefault="00C0492C" w:rsidP="00C0492C">
      <w:pPr>
        <w:ind w:leftChars="0" w:left="-2" w:firstLineChars="0" w:firstLine="0"/>
        <w:rPr>
          <w:rFonts w:asciiTheme="minorHAnsi" w:eastAsia="Arial" w:hAnsiTheme="minorHAnsi" w:cs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44D4C7" wp14:editId="407CA259">
            <wp:simplePos x="0" y="0"/>
            <wp:positionH relativeFrom="column">
              <wp:posOffset>376555</wp:posOffset>
            </wp:positionH>
            <wp:positionV relativeFrom="paragraph">
              <wp:posOffset>128270</wp:posOffset>
            </wp:positionV>
            <wp:extent cx="1648203" cy="2489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03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8DAB" w14:textId="00A434CB" w:rsidR="00AF4590" w:rsidRPr="00AE27CA" w:rsidRDefault="00AE27CA" w:rsidP="00C0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  <w:sectPr w:rsidR="00AF4590" w:rsidRPr="00AE27CA" w:rsidSect="00AE27CA">
          <w:type w:val="continuous"/>
          <w:pgSz w:w="11906" w:h="16838"/>
          <w:pgMar w:top="1417" w:right="1134" w:bottom="1134" w:left="1134" w:header="708" w:footer="708" w:gutter="0"/>
          <w:cols w:space="3404"/>
          <w:docGrid w:linePitch="360"/>
        </w:sectPr>
      </w:pPr>
      <w:r w:rsidRPr="00AE27CA">
        <w:rPr>
          <w:rFonts w:asciiTheme="minorHAnsi" w:eastAsia="Arial" w:hAnsiTheme="minorHAnsi" w:cstheme="majorHAnsi"/>
        </w:rPr>
        <w:t>P</w:t>
      </w:r>
      <w:r w:rsidR="00AF4590" w:rsidRPr="00AE27CA">
        <w:rPr>
          <w:rFonts w:asciiTheme="minorHAnsi" w:eastAsia="Arial" w:hAnsiTheme="minorHAnsi" w:cstheme="majorHAnsi"/>
        </w:rPr>
        <w:t>rof</w:t>
      </w:r>
      <w:r w:rsidR="00C0492C">
        <w:rPr>
          <w:rFonts w:asciiTheme="minorHAnsi" w:eastAsia="Arial" w:hAnsiTheme="minorHAnsi" w:cstheme="majorHAnsi"/>
        </w:rPr>
        <w:t>.</w:t>
      </w:r>
      <w:r>
        <w:rPr>
          <w:rFonts w:asciiTheme="minorHAnsi" w:eastAsia="Arial" w:hAnsiTheme="minorHAnsi" w:cstheme="majorHAnsi"/>
        </w:rPr>
        <w:t xml:space="preserve"> </w:t>
      </w: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73E71F4"/>
    <w:multiLevelType w:val="hybridMultilevel"/>
    <w:tmpl w:val="D154FC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610"/>
    <w:multiLevelType w:val="hybridMultilevel"/>
    <w:tmpl w:val="A07C28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D2969BD"/>
    <w:multiLevelType w:val="hybridMultilevel"/>
    <w:tmpl w:val="7C486D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60BD6"/>
    <w:multiLevelType w:val="hybridMultilevel"/>
    <w:tmpl w:val="B3E00794"/>
    <w:lvl w:ilvl="0" w:tplc="602C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6F130A38"/>
    <w:multiLevelType w:val="hybridMultilevel"/>
    <w:tmpl w:val="BB3429B6"/>
    <w:lvl w:ilvl="0" w:tplc="F2C40ADE">
      <w:start w:val="1"/>
      <w:numFmt w:val="decimal"/>
      <w:lvlText w:val="%1-"/>
      <w:lvlJc w:val="left"/>
      <w:pPr>
        <w:ind w:left="430" w:hanging="43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7604859">
    <w:abstractNumId w:val="2"/>
  </w:num>
  <w:num w:numId="2" w16cid:durableId="673072758">
    <w:abstractNumId w:val="8"/>
  </w:num>
  <w:num w:numId="3" w16cid:durableId="1020739370">
    <w:abstractNumId w:val="4"/>
  </w:num>
  <w:num w:numId="4" w16cid:durableId="384330609">
    <w:abstractNumId w:val="0"/>
  </w:num>
  <w:num w:numId="5" w16cid:durableId="1218930748">
    <w:abstractNumId w:val="1"/>
  </w:num>
  <w:num w:numId="6" w16cid:durableId="153572876">
    <w:abstractNumId w:val="5"/>
  </w:num>
  <w:num w:numId="7" w16cid:durableId="929049347">
    <w:abstractNumId w:val="6"/>
  </w:num>
  <w:num w:numId="8" w16cid:durableId="1990401904">
    <w:abstractNumId w:val="3"/>
  </w:num>
  <w:num w:numId="9" w16cid:durableId="744304314">
    <w:abstractNumId w:val="7"/>
  </w:num>
  <w:num w:numId="10" w16cid:durableId="1786850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0458B3"/>
    <w:rsid w:val="000A5F46"/>
    <w:rsid w:val="00112294"/>
    <w:rsid w:val="00445B74"/>
    <w:rsid w:val="00560389"/>
    <w:rsid w:val="00606C07"/>
    <w:rsid w:val="006C411E"/>
    <w:rsid w:val="0077420D"/>
    <w:rsid w:val="00790825"/>
    <w:rsid w:val="007E24E7"/>
    <w:rsid w:val="00851DDE"/>
    <w:rsid w:val="00982A53"/>
    <w:rsid w:val="00A33793"/>
    <w:rsid w:val="00AE27CA"/>
    <w:rsid w:val="00AF4590"/>
    <w:rsid w:val="00B9370E"/>
    <w:rsid w:val="00C0492C"/>
    <w:rsid w:val="00C41D6B"/>
    <w:rsid w:val="00D22A7C"/>
    <w:rsid w:val="00F3232B"/>
    <w:rsid w:val="00F436D2"/>
    <w:rsid w:val="00F44A53"/>
    <w:rsid w:val="00F618B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AE27CA"/>
    <w:pPr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Mangal"/>
      <w:kern w:val="1"/>
      <w:position w:val="-1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8</cp:revision>
  <dcterms:created xsi:type="dcterms:W3CDTF">2024-05-29T07:52:00Z</dcterms:created>
  <dcterms:modified xsi:type="dcterms:W3CDTF">2024-06-21T07:53:00Z</dcterms:modified>
</cp:coreProperties>
</file>