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Liceo Scientifico Statale “Carlo Cattaneo”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Anno scolastico 2021-22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I Sezione T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Programma di Italiano 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Grammatica 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L’articolo determinativo, indeterminativo e partitivo; i segni di punteggiatura; le congiunzioni; le preposizioni; l’aggettivo e i gradi </w:t>
      </w:r>
      <w:r w:rsidDel="00000000" w:rsidR="00000000" w:rsidRPr="00000000">
        <w:rPr>
          <w:rtl w:val="0"/>
        </w:rPr>
        <w:t xml:space="preserve">d’intensità</w:t>
      </w:r>
      <w:r w:rsidDel="00000000" w:rsidR="00000000" w:rsidRPr="00000000">
        <w:rPr>
          <w:rtl w:val="0"/>
        </w:rPr>
        <w:t xml:space="preserve"> dell’aggettivo; i pronomi; i verbi attivi e passivi; il soggetto.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I complementi: oggetto, di termine, di specificazione, di luogo, di compagnia e unione, di mezzo, di modo, d’agente e di causa efficiente, di causa, di fine o scopo.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La lingua nel tempo e nello spazio: le varietà diacroniche, le origini del latino, dal latino ai volgari, le prime testimonianze del volgare nella penisola italiana.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Antologia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La fabula; i personaggi e la loro descrizione; luogo e spazio; il racconto giallo; la poesia; le strofe e i versi; le rime.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Letture: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Emilio Salgari: La tigre admikanevalla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Georges Simenon: La finestra aperta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Giorgio Scerbanenco: Stazione Centrale ammazzare subito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Honoré de Balzac: Vautrin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Reiner Kunze: Quindici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Goffredo Parise: Un compagno di scuola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Jerome D. Salinger: Roba da matti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Luigi Pirandello: La carriola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Alcmane: Notturno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Francesco Petrarca: </w:t>
      </w:r>
      <w:r w:rsidDel="00000000" w:rsidR="00000000" w:rsidRPr="00000000">
        <w:rPr>
          <w:rtl w:val="0"/>
        </w:rPr>
        <w:t xml:space="preserve">Zephiro</w:t>
      </w:r>
      <w:r w:rsidDel="00000000" w:rsidR="00000000" w:rsidRPr="00000000">
        <w:rPr>
          <w:rtl w:val="0"/>
        </w:rPr>
        <w:t xml:space="preserve"> torna, e ‘l bel tempo rimena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Salvatore Quasimodo: Uomo del mio tempo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Gaio Valerio Catullo: Odio e amo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Charles Dickens: Oliver in ospizio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Fredric Brown: Errore fatale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Italo Calvino: Ersilia, la città itinerante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Gli allievi hanno letto durante l’anno scolasticoi seguenti romanzi e steso le relative schede-libro: “Cuore” di Edmondo De Amicis; “Il barone rampante” di Italo Calvino; “Il cavaliere inesistente” di Italo Calvino; “Alice nel paese delle meraviglie” di Lewis Carrol e “Il giro del mondo in ottanta giorni” di Jules Verne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Epica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La Bibbia: Genesi, La creazione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L’epopea di Gilgamesh: L’eroe Gilgamesh, La Foresta dei Cedri, Il pianto di Gilgamesh per la morte di Enkidu, L’umanità è recisa come canne in un canneto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L’ “Iliade”: Il proemio, La lite fra Achille e Agamennone, L’incontro </w:t>
      </w:r>
      <w:r w:rsidDel="00000000" w:rsidR="00000000" w:rsidRPr="00000000">
        <w:rPr>
          <w:rtl w:val="0"/>
        </w:rPr>
        <w:t xml:space="preserve">fra</w:t>
      </w:r>
      <w:r w:rsidDel="00000000" w:rsidR="00000000" w:rsidRPr="00000000">
        <w:rPr>
          <w:rtl w:val="0"/>
        </w:rPr>
        <w:t xml:space="preserve"> Ettore e Andromaca, La morte di Patroclo, Il duello fra Ettore e Achille, Priamo e Achille.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L’ “Odissea”: Il proemio, Atena e Telemaco, La ninfa Calipso, L’incontro con Nausicaa, Il ciclope Polifemo, La maga Circe, L’incontro con Agamennone nell’Ade, L’inganno delle sirene, Il cane Argo, Penelope e Odisseo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 Virgilio, vita e opere.  Riassunto del poema, analisi dei personaggi.</w:t>
      </w:r>
    </w:p>
    <w:p w:rsidR="00000000" w:rsidDel="00000000" w:rsidP="00000000" w:rsidRDefault="00000000" w:rsidRPr="00000000" w14:paraId="0000002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TORINO, 3 giugno 2022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Il docente</w:t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Laura Banchi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